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58BB881D" w:rsidR="0097613F" w:rsidRPr="008329B5" w:rsidRDefault="009B2DC8" w:rsidP="0049244F">
      <w:pPr>
        <w:spacing w:after="0" w:line="276" w:lineRule="auto"/>
        <w:jc w:val="right"/>
        <w:rPr>
          <w:rFonts w:ascii="Verdana" w:hAnsi="Verdana"/>
          <w:b/>
          <w:bCs/>
          <w:sz w:val="20"/>
          <w:szCs w:val="20"/>
        </w:rPr>
      </w:pPr>
      <w:r w:rsidRPr="00E512A7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8329B5">
        <w:rPr>
          <w:rFonts w:ascii="Verdana" w:hAnsi="Verdana"/>
          <w:b/>
          <w:bCs/>
          <w:sz w:val="20"/>
          <w:szCs w:val="20"/>
        </w:rPr>
        <w:t>2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–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Zasady postępowania</w:t>
      </w:r>
    </w:p>
    <w:p w14:paraId="195EAB40" w14:textId="77777777" w:rsidR="0097613F" w:rsidRPr="009B2DC8" w:rsidRDefault="0097613F" w:rsidP="0049244F">
      <w:pPr>
        <w:spacing w:after="0" w:line="276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5FDC7CAE" w14:textId="1AF5F7C5" w:rsidR="0097613F" w:rsidRPr="009B2DC8" w:rsidRDefault="0097613F" w:rsidP="0049244F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5E300825" w14:textId="260BB052" w:rsidR="0027598D" w:rsidRPr="0027598D" w:rsidRDefault="0027598D" w:rsidP="0049244F">
      <w:pPr>
        <w:spacing w:line="276" w:lineRule="auto"/>
        <w:jc w:val="both"/>
        <w:rPr>
          <w:rFonts w:ascii="Verdana" w:hAnsi="Verdana" w:cs="Verdana"/>
          <w:b/>
          <w:sz w:val="20"/>
          <w:szCs w:val="20"/>
        </w:rPr>
      </w:pPr>
      <w:r w:rsidRPr="0027598D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271C98" w:rsidRPr="00271C98">
        <w:rPr>
          <w:rFonts w:ascii="Verdana" w:hAnsi="Verdana"/>
          <w:b/>
          <w:sz w:val="20"/>
          <w:szCs w:val="20"/>
        </w:rPr>
        <w:t xml:space="preserve">Wyznaczenie nowego przejścia dla pieszych wraz z budową sygnalizacji świetlnej oraz poprawą </w:t>
      </w:r>
      <w:proofErr w:type="spellStart"/>
      <w:r w:rsidR="00271C98" w:rsidRPr="00271C98">
        <w:rPr>
          <w:rFonts w:ascii="Verdana" w:hAnsi="Verdana"/>
          <w:b/>
          <w:sz w:val="20"/>
          <w:szCs w:val="20"/>
        </w:rPr>
        <w:t>brd</w:t>
      </w:r>
      <w:proofErr w:type="spellEnd"/>
      <w:r w:rsidR="00271C98" w:rsidRPr="00271C98">
        <w:rPr>
          <w:rFonts w:ascii="Verdana" w:hAnsi="Verdana"/>
          <w:b/>
          <w:sz w:val="20"/>
          <w:szCs w:val="20"/>
        </w:rPr>
        <w:t xml:space="preserve"> w ciągu drogi krajowej nr</w:t>
      </w:r>
      <w:r w:rsidR="00A02ABA">
        <w:rPr>
          <w:rFonts w:ascii="Verdana" w:hAnsi="Verdana"/>
          <w:b/>
          <w:sz w:val="20"/>
          <w:szCs w:val="20"/>
        </w:rPr>
        <w:t> </w:t>
      </w:r>
      <w:bookmarkStart w:id="0" w:name="_GoBack"/>
      <w:bookmarkEnd w:id="0"/>
      <w:r w:rsidR="00271C98" w:rsidRPr="00271C98">
        <w:rPr>
          <w:rFonts w:ascii="Verdana" w:hAnsi="Verdana"/>
          <w:b/>
          <w:sz w:val="20"/>
          <w:szCs w:val="20"/>
        </w:rPr>
        <w:t>91 w m. Rozprza w woj. łódzkim</w:t>
      </w:r>
      <w:r w:rsidRPr="0027598D">
        <w:rPr>
          <w:rFonts w:ascii="Verdana" w:hAnsi="Verdana" w:cs="Verdana"/>
          <w:b/>
          <w:sz w:val="20"/>
          <w:szCs w:val="20"/>
        </w:rPr>
        <w:t>”</w:t>
      </w:r>
    </w:p>
    <w:p w14:paraId="534E8840" w14:textId="15B55DC2" w:rsidR="0051035B" w:rsidRPr="009B2DC8" w:rsidRDefault="0051035B" w:rsidP="0049244F">
      <w:pPr>
        <w:spacing w:after="0" w:line="276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339BB51A" w:rsidR="0051035B" w:rsidRPr="009B2DC8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5DC5EB0E" w14:textId="3A23320F" w:rsidR="00A313B7" w:rsidRDefault="0051035B" w:rsidP="0049244F">
      <w:pPr>
        <w:spacing w:after="0" w:line="276" w:lineRule="auto"/>
        <w:ind w:left="369" w:right="19"/>
        <w:jc w:val="both"/>
        <w:rPr>
          <w:rStyle w:val="Hipercze"/>
          <w:rFonts w:ascii="Verdana" w:hAnsi="Verdana"/>
          <w:color w:val="auto"/>
          <w:sz w:val="20"/>
          <w:szCs w:val="20"/>
          <w:u w:val="none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Łodzi, Rejon w </w:t>
      </w:r>
      <w:r w:rsidR="0049244F">
        <w:rPr>
          <w:rFonts w:ascii="Verdana" w:eastAsia="Calibri" w:hAnsi="Verdana" w:cs="Calibri"/>
          <w:color w:val="000000"/>
          <w:sz w:val="20"/>
          <w:szCs w:val="20"/>
          <w:lang w:eastAsia="pl-PL"/>
        </w:rPr>
        <w:t>Radomsku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,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ul. </w:t>
      </w:r>
      <w:r w:rsidR="0049244F">
        <w:rPr>
          <w:rFonts w:ascii="Verdana" w:eastAsia="Calibri" w:hAnsi="Verdana" w:cs="Calibri"/>
          <w:color w:val="000000"/>
          <w:sz w:val="20"/>
          <w:szCs w:val="20"/>
          <w:lang w:eastAsia="pl-PL"/>
        </w:rPr>
        <w:t>Reja 8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>, 9</w:t>
      </w:r>
      <w:r w:rsidR="0049244F">
        <w:rPr>
          <w:rFonts w:ascii="Verdana" w:eastAsia="Calibri" w:hAnsi="Verdana" w:cs="Calibri"/>
          <w:color w:val="000000"/>
          <w:sz w:val="20"/>
          <w:szCs w:val="20"/>
          <w:lang w:eastAsia="pl-PL"/>
        </w:rPr>
        <w:t>7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>-</w:t>
      </w:r>
      <w:r w:rsidR="0049244F">
        <w:rPr>
          <w:rFonts w:ascii="Verdana" w:eastAsia="Calibri" w:hAnsi="Verdana" w:cs="Calibri"/>
          <w:color w:val="000000"/>
          <w:sz w:val="20"/>
          <w:szCs w:val="20"/>
          <w:lang w:eastAsia="pl-PL"/>
        </w:rPr>
        <w:t>5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00 </w:t>
      </w:r>
      <w:r w:rsidR="0049244F">
        <w:rPr>
          <w:rFonts w:ascii="Verdana" w:eastAsia="Calibri" w:hAnsi="Verdana" w:cs="Calibri"/>
          <w:color w:val="000000"/>
          <w:sz w:val="20"/>
          <w:szCs w:val="20"/>
          <w:lang w:eastAsia="pl-PL"/>
        </w:rPr>
        <w:t>Radomsko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,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bądź drogą elektr</w:t>
      </w: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oniczną na adres: </w:t>
      </w:r>
      <w:hyperlink r:id="rId7" w:history="1">
        <w:r w:rsidR="0049244F" w:rsidRPr="00A84F81">
          <w:rPr>
            <w:rStyle w:val="Hipercze"/>
            <w:rFonts w:ascii="Verdana" w:hAnsi="Verdana"/>
            <w:sz w:val="20"/>
            <w:szCs w:val="20"/>
          </w:rPr>
          <w:t>rrudawski@gddkia.gov.pl</w:t>
        </w:r>
      </w:hyperlink>
      <w:r w:rsidR="00A313B7"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 </w:t>
      </w:r>
    </w:p>
    <w:p w14:paraId="410C120E" w14:textId="2FFB7BB7" w:rsidR="00A8187F" w:rsidRPr="009B2DC8" w:rsidRDefault="00A313B7" w:rsidP="0049244F">
      <w:pPr>
        <w:spacing w:after="0" w:line="276" w:lineRule="auto"/>
        <w:ind w:left="369" w:right="1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55DFE680" w14:textId="6F91A24B" w:rsidR="0051035B" w:rsidRPr="009B2DC8" w:rsidRDefault="0051035B" w:rsidP="0049244F">
      <w:pPr>
        <w:spacing w:after="0" w:line="276" w:lineRule="auto"/>
        <w:ind w:left="369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Zamawiający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odrzuci ofertę Wykonawcy, w szczególności jeżeli:</w:t>
      </w:r>
    </w:p>
    <w:p w14:paraId="099AADCC" w14:textId="3E6D7444" w:rsidR="0051035B" w:rsidRPr="009B2DC8" w:rsidRDefault="0051035B" w:rsidP="0049244F">
      <w:pPr>
        <w:numPr>
          <w:ilvl w:val="1"/>
          <w:numId w:val="1"/>
        </w:numPr>
        <w:spacing w:after="0" w:line="276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 niż jedną ofertę;</w:t>
      </w:r>
    </w:p>
    <w:p w14:paraId="0E0A10CD" w14:textId="77777777" w:rsidR="0051035B" w:rsidRPr="009B2DC8" w:rsidRDefault="0051035B" w:rsidP="0049244F">
      <w:pPr>
        <w:numPr>
          <w:ilvl w:val="1"/>
          <w:numId w:val="1"/>
        </w:numPr>
        <w:spacing w:after="0" w:line="276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Formularza Oferty i/lub Kosztorysu ofertowego/cenowego; </w:t>
      </w:r>
    </w:p>
    <w:p w14:paraId="333349F6" w14:textId="435CE493" w:rsidR="0051035B" w:rsidRPr="009B2DC8" w:rsidRDefault="0051035B" w:rsidP="0049244F">
      <w:pPr>
        <w:numPr>
          <w:ilvl w:val="1"/>
          <w:numId w:val="1"/>
        </w:numPr>
        <w:spacing w:after="0" w:line="276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rażąco niską cenę w stosunku do przedmiotu zamówienia </w:t>
      </w:r>
      <w:r w:rsidR="00632AF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lub w przypadku braku przedstawienia przez Wykonawcę dostatecznych wyjaśnień potwierdzających, że cena oferty zapewnia realizację zamówienia</w:t>
      </w:r>
      <w:r w:rsidR="007F3914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0E611D12" w:rsidR="0051035B" w:rsidRPr="009B2DC8" w:rsidRDefault="0051035B" w:rsidP="0049244F">
      <w:pPr>
        <w:spacing w:after="0" w:line="276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4) Oferta </w:t>
      </w:r>
      <w:r w:rsidR="007F3914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ceny;</w:t>
      </w:r>
    </w:p>
    <w:p w14:paraId="630D5F38" w14:textId="77777777" w:rsidR="0051035B" w:rsidRPr="009B2DC8" w:rsidRDefault="0051035B" w:rsidP="0049244F">
      <w:pPr>
        <w:spacing w:after="0" w:line="276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5) Oferta została złożona po terminie.</w:t>
      </w:r>
    </w:p>
    <w:p w14:paraId="1DEB1208" w14:textId="77777777" w:rsidR="00A313B7" w:rsidRDefault="0051035B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532E92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390A4A30" w14:textId="77777777" w:rsidR="00A313B7" w:rsidRDefault="00632AFD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oferty powinna obejmować całkowity koszt wykonania przedmiotu zamówienia, w tym również wszelkie koszty towarzyszące wykonaniu. </w:t>
      </w:r>
    </w:p>
    <w:p w14:paraId="65C34C44" w14:textId="77777777" w:rsidR="00A313B7" w:rsidRDefault="00632AFD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59765F6" w14:textId="7508982F" w:rsidR="0051035B" w:rsidRPr="00A313B7" w:rsidRDefault="0051035B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9B2DC8" w:rsidRDefault="0051035B" w:rsidP="0049244F">
      <w:pPr>
        <w:numPr>
          <w:ilvl w:val="2"/>
          <w:numId w:val="2"/>
        </w:numPr>
        <w:spacing w:after="0" w:line="276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9FDD8A6" w14:textId="77777777" w:rsidR="00A313B7" w:rsidRDefault="0051035B" w:rsidP="0049244F">
      <w:pPr>
        <w:numPr>
          <w:ilvl w:val="2"/>
          <w:numId w:val="2"/>
        </w:numPr>
        <w:spacing w:after="0" w:line="276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833B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35CAF9E3" w:rsidR="00632AFD" w:rsidRPr="0049244F" w:rsidRDefault="00632AFD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Każda poprawka w treści oferty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(formularzu ofertowym i formularzu </w:t>
      </w:r>
      <w:r w:rsidR="00A313B7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wyceny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)</w:t>
      </w: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,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                               </w:t>
      </w: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a w szczególności każde przerobienie, przekreślenie, uzupełnienie, nadpisanie, itd. powinno być parafowane przez Wykonawcę,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w przeciwnym razie nie będzie uwzględnione.</w:t>
      </w:r>
    </w:p>
    <w:p w14:paraId="59B78CD2" w14:textId="77777777" w:rsidR="0051035B" w:rsidRPr="009B2DC8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71A22B0E" w14:textId="302E14F8" w:rsidR="0051035B" w:rsidRPr="009B2DC8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Zbadania czy cena danej oferty nie jest rażąco niska (obowiązek wykazania, że oferta nie zawiera rażąco niskiej ceny spoczywa na </w:t>
      </w:r>
      <w:r w:rsidR="0068567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ykonawcy)</w:t>
      </w:r>
      <w:r w:rsidR="0097613F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0912C58" w14:textId="0110A155" w:rsidR="00182092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0166EF32" w14:textId="77777777" w:rsidR="00182092" w:rsidRDefault="00182092" w:rsidP="0049244F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AEB81D7" w14:textId="77777777" w:rsidR="00182092" w:rsidRDefault="00182092" w:rsidP="0049244F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152B6F39" w14:textId="77777777" w:rsidR="00271C98" w:rsidRDefault="00182092" w:rsidP="0049244F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943531">
        <w:rPr>
          <w:rFonts w:ascii="Verdana" w:hAnsi="Verdana"/>
          <w:sz w:val="20"/>
          <w:szCs w:val="20"/>
          <w:u w:val="single"/>
        </w:rPr>
        <w:t>Sporządził:</w:t>
      </w:r>
      <w:r w:rsidRPr="00271C98">
        <w:rPr>
          <w:rFonts w:ascii="Verdana" w:hAnsi="Verdana"/>
          <w:sz w:val="20"/>
          <w:szCs w:val="20"/>
        </w:rPr>
        <w:t xml:space="preserve"> </w:t>
      </w:r>
    </w:p>
    <w:p w14:paraId="563AF4E7" w14:textId="1F3A285E" w:rsidR="00632AFD" w:rsidRPr="00182092" w:rsidRDefault="0049244F" w:rsidP="0049244F">
      <w:pPr>
        <w:tabs>
          <w:tab w:val="left" w:pos="0"/>
        </w:tabs>
        <w:spacing w:after="0" w:line="276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Robert Rudawski</w:t>
      </w:r>
    </w:p>
    <w:sectPr w:rsidR="00632AFD" w:rsidRPr="00182092" w:rsidSect="00271C98">
      <w:footerReference w:type="default" r:id="rId8"/>
      <w:pgSz w:w="11904" w:h="16834"/>
      <w:pgMar w:top="993" w:right="1454" w:bottom="1135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B4B0C" w14:textId="77777777" w:rsidR="00BF5B60" w:rsidRDefault="00BF5B60" w:rsidP="00A313B7">
      <w:pPr>
        <w:spacing w:after="0" w:line="240" w:lineRule="auto"/>
      </w:pPr>
      <w:r>
        <w:separator/>
      </w:r>
    </w:p>
  </w:endnote>
  <w:endnote w:type="continuationSeparator" w:id="0">
    <w:p w14:paraId="21BC84E4" w14:textId="77777777" w:rsidR="00BF5B60" w:rsidRDefault="00BF5B60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D7AE298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_________________________________________________________________________________________Zasady postępowania</w:t>
    </w:r>
  </w:p>
  <w:p w14:paraId="69204363" w14:textId="23CA36BA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A02ABA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A02ABA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770D8" w14:textId="77777777" w:rsidR="00BF5B60" w:rsidRDefault="00BF5B60" w:rsidP="00A313B7">
      <w:pPr>
        <w:spacing w:after="0" w:line="240" w:lineRule="auto"/>
      </w:pPr>
      <w:r>
        <w:separator/>
      </w:r>
    </w:p>
  </w:footnote>
  <w:footnote w:type="continuationSeparator" w:id="0">
    <w:p w14:paraId="6D169324" w14:textId="77777777" w:rsidR="00BF5B60" w:rsidRDefault="00BF5B60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B57C8"/>
    <w:rsid w:val="00182092"/>
    <w:rsid w:val="001A3281"/>
    <w:rsid w:val="00271C98"/>
    <w:rsid w:val="0027598D"/>
    <w:rsid w:val="002E1BEC"/>
    <w:rsid w:val="0032329F"/>
    <w:rsid w:val="00366CE0"/>
    <w:rsid w:val="0042050B"/>
    <w:rsid w:val="00431421"/>
    <w:rsid w:val="0049244F"/>
    <w:rsid w:val="004A5171"/>
    <w:rsid w:val="0051035B"/>
    <w:rsid w:val="00532E92"/>
    <w:rsid w:val="00597271"/>
    <w:rsid w:val="005E7FAD"/>
    <w:rsid w:val="00615F0C"/>
    <w:rsid w:val="00622ADD"/>
    <w:rsid w:val="00632AFD"/>
    <w:rsid w:val="0068567D"/>
    <w:rsid w:val="006F154F"/>
    <w:rsid w:val="00720317"/>
    <w:rsid w:val="0077605A"/>
    <w:rsid w:val="007B0178"/>
    <w:rsid w:val="007F3914"/>
    <w:rsid w:val="008329B5"/>
    <w:rsid w:val="00833BC8"/>
    <w:rsid w:val="008D18EF"/>
    <w:rsid w:val="00922EAA"/>
    <w:rsid w:val="00937112"/>
    <w:rsid w:val="0097613F"/>
    <w:rsid w:val="009B2DC8"/>
    <w:rsid w:val="009B55EC"/>
    <w:rsid w:val="009C68F4"/>
    <w:rsid w:val="009D383A"/>
    <w:rsid w:val="009D6159"/>
    <w:rsid w:val="00A02ABA"/>
    <w:rsid w:val="00A313B7"/>
    <w:rsid w:val="00A8187F"/>
    <w:rsid w:val="00A849C8"/>
    <w:rsid w:val="00AC60AB"/>
    <w:rsid w:val="00BF5B60"/>
    <w:rsid w:val="00C50D0D"/>
    <w:rsid w:val="00CC4834"/>
    <w:rsid w:val="00CD1B80"/>
    <w:rsid w:val="00E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rudawski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Rudawski Robert</cp:lastModifiedBy>
  <cp:revision>8</cp:revision>
  <cp:lastPrinted>2023-01-03T13:26:00Z</cp:lastPrinted>
  <dcterms:created xsi:type="dcterms:W3CDTF">2024-05-22T07:40:00Z</dcterms:created>
  <dcterms:modified xsi:type="dcterms:W3CDTF">2024-07-10T08:24:00Z</dcterms:modified>
</cp:coreProperties>
</file>